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BA022B">
        <w:rPr>
          <w:rFonts w:ascii="標楷體" w:eastAsia="標楷體" w:hAnsi="標楷體" w:hint="eastAsia"/>
          <w:b/>
          <w:sz w:val="32"/>
          <w:szCs w:val="32"/>
        </w:rPr>
        <w:t>初任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bookmarkEnd w:id="0"/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請於就(到)職前辦理</w:t>
            </w:r>
            <w:r w:rsidR="00673347">
              <w:rPr>
                <w:rFonts w:ascii="標楷體" w:eastAsia="標楷體" w:hAnsi="標楷體" w:hint="eastAsia"/>
                <w:b/>
                <w:szCs w:val="24"/>
              </w:rPr>
              <w:t>辭職、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註銷或解任登記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至遲於3個月內完成解任登記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673347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</w:p>
          <w:p w:rsidR="00923CF7" w:rsidRPr="00453BE8" w:rsidRDefault="005814FF" w:rsidP="00453BE8">
            <w:pPr>
              <w:pStyle w:val="a4"/>
              <w:spacing w:afterLines="30" w:after="108" w:line="40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453BE8">
              <w:rPr>
                <w:rFonts w:ascii="標楷體" w:eastAsia="標楷體" w:hAnsi="標楷體" w:hint="eastAsia"/>
                <w:b/>
                <w:szCs w:val="24"/>
              </w:rPr>
              <w:t>〈如勾選「是」者，</w:t>
            </w:r>
            <w:r w:rsidR="00673347" w:rsidRPr="00453BE8">
              <w:rPr>
                <w:rFonts w:ascii="標楷體" w:eastAsia="標楷體" w:hAnsi="標楷體" w:hint="eastAsia"/>
                <w:b/>
                <w:szCs w:val="24"/>
              </w:rPr>
              <w:t>應於就(到)職後3個月內</w:t>
            </w:r>
            <w:r w:rsidR="00453BE8" w:rsidRPr="00453BE8">
              <w:rPr>
                <w:rFonts w:ascii="標楷體" w:eastAsia="標楷體" w:hAnsi="標楷體" w:hint="eastAsia"/>
                <w:b/>
                <w:szCs w:val="24"/>
              </w:rPr>
              <w:t>依相關規定辦理轉讓或信託予信託業。</w:t>
            </w:r>
            <w:r w:rsidRPr="00453BE8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77DB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677DB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677DB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</w:t>
      </w:r>
      <w:r w:rsidR="00C80CDA">
        <w:rPr>
          <w:rFonts w:ascii="標楷體" w:eastAsia="標楷體" w:hAnsi="標楷體" w:hint="eastAsia"/>
          <w:sz w:val="28"/>
          <w:szCs w:val="28"/>
        </w:rPr>
        <w:t>初任</w:t>
      </w:r>
      <w:r>
        <w:rPr>
          <w:rFonts w:ascii="標楷體" w:eastAsia="標楷體" w:hAnsi="標楷體" w:hint="eastAsia"/>
          <w:sz w:val="28"/>
          <w:szCs w:val="28"/>
        </w:rPr>
        <w:t>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77" w:rsidRDefault="00635277" w:rsidP="009D257F">
      <w:r>
        <w:separator/>
      </w:r>
    </w:p>
  </w:endnote>
  <w:endnote w:type="continuationSeparator" w:id="0">
    <w:p w:rsidR="00635277" w:rsidRDefault="00635277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D86" w:rsidRPr="00E82D86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77" w:rsidRDefault="00635277" w:rsidP="009D257F">
      <w:r>
        <w:separator/>
      </w:r>
    </w:p>
  </w:footnote>
  <w:footnote w:type="continuationSeparator" w:id="0">
    <w:p w:rsidR="00635277" w:rsidRDefault="00635277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3BE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35277"/>
    <w:rsid w:val="00645949"/>
    <w:rsid w:val="00673347"/>
    <w:rsid w:val="0067401E"/>
    <w:rsid w:val="0067470C"/>
    <w:rsid w:val="00677DBD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022B"/>
    <w:rsid w:val="00BA63AC"/>
    <w:rsid w:val="00BE0E7F"/>
    <w:rsid w:val="00BE5857"/>
    <w:rsid w:val="00BF237C"/>
    <w:rsid w:val="00BF2A5B"/>
    <w:rsid w:val="00C068F3"/>
    <w:rsid w:val="00C211E2"/>
    <w:rsid w:val="00C71679"/>
    <w:rsid w:val="00C80CDA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82D86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A7DB-23B7-4BD9-A284-92A2329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黃子彥</dc:creator>
  <cp:lastModifiedBy>user</cp:lastModifiedBy>
  <cp:revision>2</cp:revision>
  <cp:lastPrinted>2021-01-06T07:12:00Z</cp:lastPrinted>
  <dcterms:created xsi:type="dcterms:W3CDTF">2022-07-14T07:01:00Z</dcterms:created>
  <dcterms:modified xsi:type="dcterms:W3CDTF">2022-07-14T07:01:00Z</dcterms:modified>
</cp:coreProperties>
</file>